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7F" w:rsidRPr="00072601" w:rsidRDefault="00D0657F" w:rsidP="00D065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Сравнительный анализ </w:t>
      </w:r>
    </w:p>
    <w:p w:rsidR="00D0657F" w:rsidRPr="00072601" w:rsidRDefault="00D0657F" w:rsidP="00D06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07260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по результатам Государственной итоговой аттестации выпускников 9-го класса</w:t>
      </w:r>
    </w:p>
    <w:p w:rsidR="00D0657F" w:rsidRPr="00072601" w:rsidRDefault="00D0657F" w:rsidP="00D065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07260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ГБОУ «СОШ № 28 с.п. Южное»</w:t>
      </w:r>
    </w:p>
    <w:p w:rsidR="00D0657F" w:rsidRPr="00072601" w:rsidRDefault="00D0657F" w:rsidP="00D065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за </w:t>
      </w:r>
      <w:r w:rsidR="00F64A0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2021,2022</w:t>
      </w:r>
      <w:r w:rsidR="0051364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,</w:t>
      </w:r>
      <w:r w:rsidR="00F64A0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2023 года</w:t>
      </w:r>
    </w:p>
    <w:p w:rsidR="00D0657F" w:rsidRPr="00072601" w:rsidRDefault="00D0657F" w:rsidP="006F3E35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6F3E35" w:rsidRPr="00072601" w:rsidRDefault="00D0657F" w:rsidP="006F3E35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               О</w:t>
      </w:r>
      <w:r w:rsidR="0069550E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сновным   статистическим   показателем   работы   школы   являются   результаты   государственной (итоговой) аттестации выпускников 9-х  классов.</w:t>
      </w:r>
    </w:p>
    <w:p w:rsidR="006F3E35" w:rsidRPr="00072601" w:rsidRDefault="006F3E35" w:rsidP="006F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 В начале 202</w:t>
      </w:r>
      <w:r w:rsidR="00D836F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-202</w:t>
      </w:r>
      <w:r w:rsidR="00D836F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учебного года 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разработана  дорожная  карта  по подготовке  и проведению государственной    (</w:t>
      </w:r>
      <w:proofErr w:type="gramStart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итоговой) </w:t>
      </w:r>
      <w:proofErr w:type="gramEnd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аттестации,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сформирована база данных по учащимся школы для сдачи ОГЭ-202</w:t>
      </w:r>
      <w:r w:rsidR="00D836F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, оформлен информационный стенд, посвященный ОГЭ, а также информационные стенды в предметных кабинетах. Учителя-предметники уделяют большое внимание разбору различных вариантов тестовых заданий на уроках, элективных курсах («Готовимся к ОГЭ по русскому языку» и</w:t>
      </w:r>
      <w:r w:rsidR="008D17FB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«Готовимся к ОГЭ по математике»)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, дополнительных и индивидуальных. Проведены </w:t>
      </w:r>
      <w:proofErr w:type="spell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внутришкольные</w:t>
      </w:r>
      <w:proofErr w:type="spell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пробные экзамены по русскому языку и математике, по предметам по выбору в форме и по материалам ОГЭ.</w:t>
      </w:r>
    </w:p>
    <w:p w:rsidR="006F3E35" w:rsidRPr="00072601" w:rsidRDefault="006F3E35" w:rsidP="006F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   Вопрос подготовки к ОГЭ в течение года на </w:t>
      </w:r>
      <w:proofErr w:type="spell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внутришкольном</w:t>
      </w:r>
      <w:proofErr w:type="spell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контроле.</w:t>
      </w:r>
    </w:p>
    <w:p w:rsidR="006F3E35" w:rsidRPr="00072601" w:rsidRDefault="006F3E35" w:rsidP="006F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Просматривалась работа с бланками, </w:t>
      </w:r>
      <w:proofErr w:type="spell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КИМами</w:t>
      </w:r>
      <w:proofErr w:type="spell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, посещаемость занятий учащимися, наличие информационных уголков в классах, организация подготовки к ОГЭ на уроках и индивидуальных занятиях. Анализ результатов пробных ОГЭ позволил провести корректировку в работе по подготовке к ОГЭ.</w:t>
      </w:r>
    </w:p>
    <w:p w:rsidR="006F3E35" w:rsidRPr="00072601" w:rsidRDefault="006F3E35" w:rsidP="006F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Осуществляется постоянное информирование </w:t>
      </w:r>
      <w:proofErr w:type="spell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педколлектива</w:t>
      </w:r>
      <w:proofErr w:type="spell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по вопросам</w:t>
      </w:r>
    </w:p>
    <w:p w:rsidR="006F3E35" w:rsidRPr="00072601" w:rsidRDefault="006F3E35" w:rsidP="006F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подготовки к ОГЭ на педсоветах, на совещаниях при директоре, при заместителе директора по УВР.</w:t>
      </w:r>
    </w:p>
    <w:p w:rsidR="0069550E" w:rsidRPr="00072601" w:rsidRDefault="0069550E" w:rsidP="0069550E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  </w:t>
      </w:r>
      <w:proofErr w:type="gramStart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 соответствии  Федеральному закону «Об образовании в Российской Федерации» 29 декабря 2012 года N 273-</w:t>
      </w:r>
      <w:r w:rsidRPr="0007260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ФЗ 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и Порядком проведения государственной итоговой аттестации по образовательным программам основного общего образования  Приказ №  189\1513 от 7.11.2018г «Об утверждении Порядка проведения государственной итоговой аттестации по образовательным программам основного общего образования» учащиеся 9-го класса  в количестве 1</w:t>
      </w:r>
      <w:r w:rsidR="00D836F2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5</w:t>
      </w:r>
      <w:r w:rsidR="00707308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человек 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приняли участие в государственной итоговой аттестации по</w:t>
      </w:r>
      <w:proofErr w:type="gramEnd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D836F2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предметам в формате ОГЭ.  </w:t>
      </w:r>
    </w:p>
    <w:p w:rsidR="00707308" w:rsidRPr="00072601" w:rsidRDefault="00707308" w:rsidP="0070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Сведения об участии выпускников в основном государственном экзамене</w:t>
      </w:r>
    </w:p>
    <w:p w:rsidR="00707308" w:rsidRPr="00072601" w:rsidRDefault="00707308" w:rsidP="0070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707308" w:rsidRPr="00072601" w:rsidRDefault="00707308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 202</w:t>
      </w:r>
      <w:r w:rsidR="00D836F2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2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/202</w:t>
      </w:r>
      <w:r w:rsidR="00D836F2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3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учебном году в школе был 1 девятый класс, в котором обучались</w:t>
      </w:r>
    </w:p>
    <w:p w:rsidR="00707308" w:rsidRPr="00072601" w:rsidRDefault="00D836F2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15</w:t>
      </w:r>
      <w:r w:rsidR="00707308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учащихся. К итоговой аттестации в формате ОГЭ были допущены 1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5</w:t>
      </w:r>
      <w:r w:rsidR="00707308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учащихся, успешно освоивших государственные программы обучения.</w:t>
      </w:r>
    </w:p>
    <w:p w:rsidR="00707308" w:rsidRPr="00072601" w:rsidRDefault="00707308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proofErr w:type="gramStart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Учащиеся 9 – го класса сдавали 2 обязательных предмета (русский язык и</w:t>
      </w:r>
      <w:proofErr w:type="gramEnd"/>
    </w:p>
    <w:p w:rsidR="00707308" w:rsidRPr="00072601" w:rsidRDefault="00707308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математика) и еще 2 предмета учащиеся - по выбору (биология и обществознание).</w:t>
      </w:r>
    </w:p>
    <w:p w:rsidR="00AE1B81" w:rsidRPr="00072601" w:rsidRDefault="00AE1B81">
      <w:pPr>
        <w:rPr>
          <w:color w:val="2F5496" w:themeColor="accent5" w:themeShade="BF"/>
        </w:rPr>
      </w:pPr>
    </w:p>
    <w:p w:rsidR="008D17FB" w:rsidRPr="00072601" w:rsidRDefault="008D17FB" w:rsidP="008D17FB">
      <w:pPr>
        <w:jc w:val="center"/>
        <w:rPr>
          <w:rFonts w:ascii="Times New Roman" w:hAnsi="Times New Roman" w:cs="Times New Roman"/>
          <w:b/>
          <w:vanish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 xml:space="preserve">Количество выпускников 9-х классов за </w:t>
      </w:r>
      <w:proofErr w:type="gramStart"/>
      <w:r w:rsidRPr="0007260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последние</w:t>
      </w:r>
      <w:proofErr w:type="gramEnd"/>
      <w:r w:rsidRPr="0007260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3 года</w:t>
      </w:r>
    </w:p>
    <w:p w:rsidR="008D17FB" w:rsidRPr="00072601" w:rsidRDefault="008D17FB" w:rsidP="008D17FB">
      <w:pPr>
        <w:jc w:val="center"/>
        <w:rPr>
          <w:rFonts w:ascii="Times New Roman" w:hAnsi="Times New Roman" w:cs="Times New Roman"/>
          <w:vanish/>
          <w:color w:val="2F5496" w:themeColor="accent5" w:themeShade="BF"/>
          <w:sz w:val="28"/>
          <w:szCs w:val="28"/>
        </w:rPr>
      </w:pPr>
    </w:p>
    <w:p w:rsidR="008D17FB" w:rsidRPr="00072601" w:rsidRDefault="008D17FB" w:rsidP="008D17FB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1"/>
        <w:tblW w:w="10740" w:type="dxa"/>
        <w:tblLook w:val="04A0"/>
      </w:tblPr>
      <w:tblGrid>
        <w:gridCol w:w="1686"/>
        <w:gridCol w:w="3291"/>
        <w:gridCol w:w="2644"/>
        <w:gridCol w:w="3119"/>
      </w:tblGrid>
      <w:tr w:rsidR="00D836F2" w:rsidRPr="00072601" w:rsidTr="00D836F2">
        <w:tc>
          <w:tcPr>
            <w:tcW w:w="1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Класс</w:t>
            </w:r>
          </w:p>
        </w:tc>
        <w:tc>
          <w:tcPr>
            <w:tcW w:w="3291" w:type="dxa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2020-2021</w:t>
            </w:r>
          </w:p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учебный год</w:t>
            </w:r>
          </w:p>
        </w:tc>
        <w:tc>
          <w:tcPr>
            <w:tcW w:w="2644" w:type="dxa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2021-2022</w:t>
            </w:r>
          </w:p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2022-2023</w:t>
            </w:r>
          </w:p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учебный год</w:t>
            </w:r>
          </w:p>
        </w:tc>
      </w:tr>
      <w:tr w:rsidR="00D836F2" w:rsidRPr="00072601" w:rsidTr="00D836F2">
        <w:tc>
          <w:tcPr>
            <w:tcW w:w="1686" w:type="dxa"/>
            <w:tcBorders>
              <w:top w:val="single" w:sz="12" w:space="0" w:color="4472C4" w:themeColor="accent5"/>
              <w:left w:val="single" w:sz="12" w:space="0" w:color="5B9BD5" w:themeColor="accent1"/>
              <w:bottom w:val="single" w:sz="12" w:space="0" w:color="5B9BD5" w:themeColor="accent1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</w:t>
            </w:r>
          </w:p>
        </w:tc>
        <w:tc>
          <w:tcPr>
            <w:tcW w:w="3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5B9BD5" w:themeColor="accent1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14</w:t>
            </w:r>
          </w:p>
        </w:tc>
        <w:tc>
          <w:tcPr>
            <w:tcW w:w="264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5B9BD5" w:themeColor="accent1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5B9BD5" w:themeColor="accent1"/>
              <w:right w:val="single" w:sz="12" w:space="0" w:color="4472C4" w:themeColor="accent5"/>
            </w:tcBorders>
          </w:tcPr>
          <w:p w:rsidR="00D836F2" w:rsidRPr="00072601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072601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15</w:t>
            </w:r>
          </w:p>
        </w:tc>
      </w:tr>
    </w:tbl>
    <w:p w:rsidR="008D17FB" w:rsidRPr="00072601" w:rsidRDefault="008D17FB" w:rsidP="008D17FB">
      <w:pPr>
        <w:rPr>
          <w:color w:val="2F5496" w:themeColor="accent5" w:themeShade="BF"/>
        </w:rPr>
      </w:pPr>
    </w:p>
    <w:p w:rsidR="008D17FB" w:rsidRPr="00072601" w:rsidRDefault="008D17FB" w:rsidP="00AF2C1E">
      <w:pPr>
        <w:jc w:val="center"/>
        <w:rPr>
          <w:color w:val="2F5496" w:themeColor="accent5" w:themeShade="BF"/>
        </w:rPr>
      </w:pPr>
      <w:r w:rsidRPr="00072601">
        <w:rPr>
          <w:noProof/>
          <w:color w:val="2F5496" w:themeColor="accent5" w:themeShade="BF"/>
          <w:lang w:eastAsia="ru-RU"/>
        </w:rPr>
        <w:drawing>
          <wp:inline distT="0" distB="0" distL="0" distR="0">
            <wp:extent cx="5486400" cy="33337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16046" w:rsidRPr="00072601" w:rsidRDefault="00D16046" w:rsidP="008D17FB">
      <w:pPr>
        <w:rPr>
          <w:color w:val="2F5496" w:themeColor="accent5" w:themeShade="BF"/>
        </w:rPr>
      </w:pPr>
    </w:p>
    <w:p w:rsidR="007B2F5A" w:rsidRPr="00072601" w:rsidRDefault="00D16046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Сравнительный анализ результатов ОГЭ </w:t>
      </w:r>
    </w:p>
    <w:p w:rsidR="00D16046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 обязательным предметам </w:t>
      </w:r>
      <w:r w:rsidR="00D16046" w:rsidRPr="00072601"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  <w:t>за три года</w:t>
      </w:r>
    </w:p>
    <w:p w:rsidR="00D16046" w:rsidRPr="00072601" w:rsidRDefault="00D16046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tbl>
      <w:tblPr>
        <w:tblStyle w:val="a3"/>
        <w:tblW w:w="10915" w:type="dxa"/>
        <w:tblInd w:w="-724" w:type="dxa"/>
        <w:tblLayout w:type="fixed"/>
        <w:tblLook w:val="04A0"/>
      </w:tblPr>
      <w:tblGrid>
        <w:gridCol w:w="2112"/>
        <w:gridCol w:w="1417"/>
        <w:gridCol w:w="1276"/>
        <w:gridCol w:w="1276"/>
        <w:gridCol w:w="992"/>
        <w:gridCol w:w="992"/>
        <w:gridCol w:w="1559"/>
        <w:gridCol w:w="1276"/>
        <w:gridCol w:w="15"/>
      </w:tblGrid>
      <w:tr w:rsidR="007B2F5A" w:rsidRPr="00072601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сдававших</w:t>
            </w:r>
            <w:proofErr w:type="gram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Преодолели мин. порог баллов</w:t>
            </w:r>
          </w:p>
        </w:tc>
        <w:tc>
          <w:tcPr>
            <w:tcW w:w="1559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Средний балл по предметам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proofErr w:type="spell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Колич-во</w:t>
            </w:r>
            <w:proofErr w:type="spell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удалений</w:t>
            </w:r>
          </w:p>
        </w:tc>
      </w:tr>
      <w:tr w:rsidR="007B2F5A" w:rsidRPr="00072601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D836F2" w:rsidRPr="00072601" w:rsidTr="00D0657F">
        <w:trPr>
          <w:gridAfter w:val="1"/>
          <w:wAfter w:w="15" w:type="dxa"/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D836F2" w:rsidRPr="00072601" w:rsidRDefault="00D836F2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:rsidR="00D836F2" w:rsidRPr="00072601" w:rsidRDefault="00D836F2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  <w:p w:rsidR="00D836F2" w:rsidRPr="00072601" w:rsidRDefault="00D836F2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D836F2" w:rsidRPr="00072601" w:rsidTr="00D0657F">
        <w:trPr>
          <w:gridAfter w:val="1"/>
          <w:wAfter w:w="15" w:type="dxa"/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D836F2" w:rsidRPr="00072601" w:rsidRDefault="00D836F2" w:rsidP="00F11AC1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D836F2" w:rsidRPr="00072601" w:rsidTr="00D0657F">
        <w:trPr>
          <w:gridAfter w:val="1"/>
          <w:wAfter w:w="15" w:type="dxa"/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D836F2" w:rsidRPr="00072601" w:rsidRDefault="00D836F2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</w:tbl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17167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noProof/>
          <w:color w:val="2F5496" w:themeColor="accent5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991225" cy="30765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tbl>
      <w:tblPr>
        <w:tblStyle w:val="a3"/>
        <w:tblW w:w="10774" w:type="dxa"/>
        <w:tblInd w:w="-724" w:type="dxa"/>
        <w:tblLayout w:type="fixed"/>
        <w:tblLook w:val="04A0"/>
      </w:tblPr>
      <w:tblGrid>
        <w:gridCol w:w="2112"/>
        <w:gridCol w:w="1417"/>
        <w:gridCol w:w="1276"/>
        <w:gridCol w:w="1276"/>
        <w:gridCol w:w="992"/>
        <w:gridCol w:w="992"/>
        <w:gridCol w:w="1559"/>
        <w:gridCol w:w="1150"/>
      </w:tblGrid>
      <w:tr w:rsidR="007B2F5A" w:rsidRPr="00072601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сдававших</w:t>
            </w:r>
            <w:proofErr w:type="gram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Преодолели мин. порог баллов</w:t>
            </w:r>
          </w:p>
        </w:tc>
        <w:tc>
          <w:tcPr>
            <w:tcW w:w="1559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Средний балл по предметам</w:t>
            </w:r>
          </w:p>
        </w:tc>
        <w:tc>
          <w:tcPr>
            <w:tcW w:w="115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proofErr w:type="spell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Колич-во</w:t>
            </w:r>
            <w:proofErr w:type="spell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удалений</w:t>
            </w:r>
          </w:p>
        </w:tc>
      </w:tr>
      <w:tr w:rsidR="007B2F5A" w:rsidRPr="00072601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9C535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</w:tbl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AF2C1E" w:rsidRPr="00072601" w:rsidRDefault="00AF2C1E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>
            <wp:extent cx="615315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2C1E" w:rsidRPr="00072601" w:rsidRDefault="00AF2C1E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AF2C1E" w:rsidRPr="00072601" w:rsidRDefault="00AF2C1E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AF2C1E" w:rsidRPr="00072601" w:rsidRDefault="00AF2C1E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  <w:lastRenderedPageBreak/>
        <w:t xml:space="preserve">Сравнительный анализ результатов ОГЭ </w:t>
      </w:r>
    </w:p>
    <w:p w:rsidR="007B2F5A" w:rsidRPr="00072601" w:rsidRDefault="007B2F5A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color w:val="2F5496" w:themeColor="accent5" w:themeShade="BF"/>
          <w:sz w:val="28"/>
          <w:szCs w:val="28"/>
          <w:lang w:eastAsia="ru-RU"/>
        </w:rPr>
        <w:t>по выборочным предметам за три года</w:t>
      </w:r>
    </w:p>
    <w:p w:rsidR="007B2F5A" w:rsidRPr="00072601" w:rsidRDefault="007B2F5A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tbl>
      <w:tblPr>
        <w:tblStyle w:val="a3"/>
        <w:tblW w:w="10774" w:type="dxa"/>
        <w:tblInd w:w="-724" w:type="dxa"/>
        <w:tblLayout w:type="fixed"/>
        <w:tblLook w:val="04A0"/>
      </w:tblPr>
      <w:tblGrid>
        <w:gridCol w:w="2112"/>
        <w:gridCol w:w="1417"/>
        <w:gridCol w:w="1276"/>
        <w:gridCol w:w="1276"/>
        <w:gridCol w:w="992"/>
        <w:gridCol w:w="992"/>
        <w:gridCol w:w="1433"/>
        <w:gridCol w:w="1276"/>
      </w:tblGrid>
      <w:tr w:rsidR="007B2F5A" w:rsidRPr="00072601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сдававших</w:t>
            </w:r>
            <w:proofErr w:type="gram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D0657F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</w:t>
            </w:r>
            <w:r w:rsidR="007B2F5A"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proofErr w:type="spell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Колич-во</w:t>
            </w:r>
            <w:proofErr w:type="spell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удалений</w:t>
            </w:r>
          </w:p>
        </w:tc>
      </w:tr>
      <w:tr w:rsidR="007B2F5A" w:rsidRPr="00072601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AD1942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7B2F5A" w:rsidRPr="00072601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</w:tbl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8973D2" w:rsidRPr="00072601" w:rsidRDefault="008973D2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>
            <wp:extent cx="6105525" cy="33337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97D" w:rsidRPr="00072601" w:rsidRDefault="0029097D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8973D2" w:rsidRPr="00072601" w:rsidRDefault="008973D2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tbl>
      <w:tblPr>
        <w:tblStyle w:val="a3"/>
        <w:tblW w:w="10915" w:type="dxa"/>
        <w:tblInd w:w="-724" w:type="dxa"/>
        <w:tblLayout w:type="fixed"/>
        <w:tblLook w:val="04A0"/>
      </w:tblPr>
      <w:tblGrid>
        <w:gridCol w:w="2112"/>
        <w:gridCol w:w="1417"/>
        <w:gridCol w:w="1276"/>
        <w:gridCol w:w="1276"/>
        <w:gridCol w:w="992"/>
        <w:gridCol w:w="992"/>
        <w:gridCol w:w="1559"/>
        <w:gridCol w:w="1291"/>
      </w:tblGrid>
      <w:tr w:rsidR="007B2F5A" w:rsidRPr="00072601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сдававших</w:t>
            </w:r>
            <w:proofErr w:type="gram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Преодолели мин. порог баллов</w:t>
            </w:r>
          </w:p>
        </w:tc>
        <w:tc>
          <w:tcPr>
            <w:tcW w:w="1559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Средний балл по предметам</w:t>
            </w:r>
          </w:p>
        </w:tc>
        <w:tc>
          <w:tcPr>
            <w:tcW w:w="1291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proofErr w:type="spellStart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Колич-во</w:t>
            </w:r>
            <w:proofErr w:type="spellEnd"/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удалений</w:t>
            </w:r>
          </w:p>
        </w:tc>
      </w:tr>
      <w:tr w:rsidR="007B2F5A" w:rsidRPr="00072601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7B2F5A" w:rsidRPr="00072601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3103D6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  <w:tr w:rsidR="00F01367" w:rsidRPr="00072601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01367" w:rsidRPr="00072601" w:rsidRDefault="00F01367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01367" w:rsidRPr="00072601" w:rsidRDefault="00625BCC" w:rsidP="007B2F5A">
            <w:pPr>
              <w:jc w:val="center"/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072601">
              <w:rPr>
                <w:rFonts w:ascii="Times New Roman" w:eastAsiaTheme="minorEastAsia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>-</w:t>
            </w:r>
          </w:p>
        </w:tc>
      </w:tr>
    </w:tbl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7B2F5A" w:rsidRPr="00072601" w:rsidRDefault="00625BCC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noProof/>
          <w:color w:val="2F5496" w:themeColor="accent5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629275" cy="32004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6046" w:rsidRPr="00072601" w:rsidRDefault="00D16046" w:rsidP="008D17FB">
      <w:pPr>
        <w:rPr>
          <w:color w:val="2F5496" w:themeColor="accent5" w:themeShade="BF"/>
        </w:rPr>
      </w:pPr>
    </w:p>
    <w:p w:rsidR="003A17DA" w:rsidRPr="00072601" w:rsidRDefault="003A17DA" w:rsidP="003A17DA">
      <w:pPr>
        <w:keepNext/>
        <w:rPr>
          <w:color w:val="2F5496" w:themeColor="accent5" w:themeShade="BF"/>
        </w:rPr>
      </w:pPr>
      <w:r w:rsidRPr="00072601">
        <w:rPr>
          <w:noProof/>
          <w:color w:val="2F5496" w:themeColor="accent5" w:themeShade="BF"/>
          <w:lang w:eastAsia="ru-RU"/>
        </w:rPr>
        <w:drawing>
          <wp:inline distT="0" distB="0" distL="0" distR="0">
            <wp:extent cx="5781675" cy="39243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7FB" w:rsidRPr="00072601" w:rsidRDefault="008D17FB" w:rsidP="003A17DA">
      <w:pPr>
        <w:pStyle w:val="a6"/>
        <w:rPr>
          <w:color w:val="2F5496" w:themeColor="accent5" w:themeShade="BF"/>
        </w:rPr>
      </w:pPr>
    </w:p>
    <w:p w:rsidR="008D17FB" w:rsidRPr="00072601" w:rsidRDefault="008D17FB" w:rsidP="008D17FB">
      <w:pPr>
        <w:rPr>
          <w:color w:val="2F5496" w:themeColor="accent5" w:themeShade="BF"/>
        </w:rPr>
      </w:pPr>
    </w:p>
    <w:p w:rsidR="0029097D" w:rsidRPr="00072601" w:rsidRDefault="0029097D" w:rsidP="007B2F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F5496" w:themeColor="accent5" w:themeShade="BF"/>
          <w:sz w:val="23"/>
          <w:szCs w:val="23"/>
          <w:lang w:eastAsia="ru-RU"/>
        </w:rPr>
      </w:pPr>
    </w:p>
    <w:p w:rsidR="0029097D" w:rsidRPr="00072601" w:rsidRDefault="0029097D" w:rsidP="007B2F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F5496" w:themeColor="accent5" w:themeShade="BF"/>
          <w:sz w:val="23"/>
          <w:szCs w:val="23"/>
          <w:lang w:eastAsia="ru-RU"/>
        </w:rPr>
      </w:pPr>
    </w:p>
    <w:p w:rsidR="0029097D" w:rsidRPr="00072601" w:rsidRDefault="0029097D" w:rsidP="007B2F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F5496" w:themeColor="accent5" w:themeShade="BF"/>
          <w:sz w:val="23"/>
          <w:szCs w:val="23"/>
          <w:lang w:eastAsia="ru-RU"/>
        </w:rPr>
      </w:pPr>
    </w:p>
    <w:p w:rsidR="0029097D" w:rsidRPr="00072601" w:rsidRDefault="0029097D" w:rsidP="007B2F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F5496" w:themeColor="accent5" w:themeShade="BF"/>
          <w:sz w:val="23"/>
          <w:szCs w:val="23"/>
          <w:lang w:eastAsia="ru-RU"/>
        </w:rPr>
      </w:pPr>
    </w:p>
    <w:p w:rsidR="0029097D" w:rsidRPr="00072601" w:rsidRDefault="0029097D" w:rsidP="007B2F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F5496" w:themeColor="accent5" w:themeShade="BF"/>
          <w:sz w:val="23"/>
          <w:szCs w:val="23"/>
          <w:lang w:eastAsia="ru-RU"/>
        </w:rPr>
      </w:pPr>
    </w:p>
    <w:p w:rsidR="0029097D" w:rsidRPr="00072601" w:rsidRDefault="0029097D" w:rsidP="007B2F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F5496" w:themeColor="accent5" w:themeShade="BF"/>
          <w:sz w:val="23"/>
          <w:szCs w:val="23"/>
          <w:lang w:eastAsia="ru-RU"/>
        </w:rPr>
      </w:pPr>
    </w:p>
    <w:p w:rsidR="0029097D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lastRenderedPageBreak/>
        <w:t xml:space="preserve">      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Анализ</w:t>
      </w:r>
      <w:r w:rsidR="0029097D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результатов</w:t>
      </w:r>
      <w:r w:rsidR="0029097D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ОГЭ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позволяет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сделать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вывод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том,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что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школе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государственная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итоговая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аттестация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обучающихся, освоивших</w:t>
      </w:r>
    </w:p>
    <w:p w:rsidR="007B2F5A" w:rsidRPr="00072601" w:rsidRDefault="0029097D" w:rsidP="0029097D">
      <w:pPr>
        <w:shd w:val="clear" w:color="auto" w:fill="FFFFFF"/>
        <w:tabs>
          <w:tab w:val="left" w:pos="0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образовательные программы основного общего образования, </w:t>
      </w:r>
      <w:proofErr w:type="gram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проведена</w:t>
      </w:r>
      <w:proofErr w:type="gram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организованно, согласно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нормативным документам; качество знаний и уровень подготовки выпускников 9-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го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класс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а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всем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предметам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свидетельствует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соответствии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федеральным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государственным образовательным стандартам.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 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Качество знаний выпускников 9-го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класс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а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, сдававших экзамены в форме ОГЭ,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возросло при независимой оценке. Работа по подготовке к ГИА велась учителями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-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предметниками в системе, по всем учебным предметам в течение учебного года</w:t>
      </w:r>
      <w:r w:rsidR="0029097D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проводились диагностические работы с последующим анализом. </w:t>
      </w:r>
      <w:proofErr w:type="gramStart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Вместе с тем контроль за подготовкой к ГИА и качеством </w:t>
      </w:r>
      <w:proofErr w:type="spellStart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обученности</w:t>
      </w:r>
      <w:proofErr w:type="spellEnd"/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ю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щихся 9-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го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класс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а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отдельным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предметам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выявил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недостаточный</w:t>
      </w:r>
      <w:proofErr w:type="gramEnd"/>
    </w:p>
    <w:p w:rsidR="007B2F5A" w:rsidRPr="00072601" w:rsidRDefault="005C22E2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у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ровень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работы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индивидуализации и дифференциации обучения обучающихся; низкий уровень мотивации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 получению знаний у некоторых обучающихся.</w:t>
      </w:r>
    </w:p>
    <w:p w:rsidR="00CF2330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Проведенный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а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нализ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позволяет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дать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учителям-предметникам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следующие</w:t>
      </w:r>
      <w:r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рекомендации для успешной подготовки </w:t>
      </w:r>
      <w:proofErr w:type="gramStart"/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обучающихся</w:t>
      </w:r>
      <w:proofErr w:type="gramEnd"/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к государственной итоговой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аттестации: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1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Стимулировать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познавательную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деятельность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proofErr w:type="gramStart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обучающихся</w:t>
      </w:r>
      <w:proofErr w:type="gramEnd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,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использовать</w:t>
      </w:r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индивидуализацию и дифференциацию обучения </w:t>
      </w:r>
      <w:proofErr w:type="gram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обучающихся</w:t>
      </w:r>
      <w:proofErr w:type="gram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Своевременно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выявлять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обучающихся,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имеющих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слабую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мотивационную</w:t>
      </w:r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подготовку, проводить анализ затруднений в освоении учебного материала,</w:t>
      </w:r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корректировать индивидуальную работу с </w:t>
      </w:r>
      <w:proofErr w:type="gram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обучающимися</w:t>
      </w:r>
      <w:proofErr w:type="gram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Скорректировать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план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подготовки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государственной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итоговой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аттестации</w:t>
      </w:r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обучающихся 9 классов по отдельным предметам.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4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Продолжить работу над повышением качества знаний обучающихся.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5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В рабочих программах по предметам предусмотреть повторение </w:t>
      </w:r>
      <w:proofErr w:type="gramStart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учебного</w:t>
      </w:r>
      <w:proofErr w:type="gramEnd"/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материала при подготовке к ГИА, проведение диагностических работ по всем</w:t>
      </w:r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предметам.</w:t>
      </w: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6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Пользоваться для эффективной подготовки обучающихся к государственной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итоговой аттестации документами, определяющими структуру и содержание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proofErr w:type="spellStart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КИМов</w:t>
      </w:r>
      <w:proofErr w:type="spellEnd"/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20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г., открытым сегментом Федерального банка тестовых заданий,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аналитическими отчетами о результатах экзаменов.</w:t>
      </w:r>
    </w:p>
    <w:p w:rsidR="00CF2330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7B2F5A" w:rsidRPr="00072601" w:rsidRDefault="00CF2330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  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По результатам анализа государственной итоговой аттестации можно обозначить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основные направления деятельности педагогического коллектива по подготовке к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государственной итоговой аттестации на 20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2</w:t>
      </w:r>
      <w:r w:rsidR="00072601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3</w:t>
      </w:r>
      <w:r w:rsidR="005C22E2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-202</w:t>
      </w:r>
      <w:r w:rsidR="00072601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4</w:t>
      </w:r>
      <w:r w:rsidR="007B2F5A" w:rsidRPr="00072601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учебный год: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1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Руководителям школьных МО проанализировать результаты государственной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итоговой аттестации 20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-20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учебного года, включить в план работы на 20</w:t>
      </w:r>
      <w:r w:rsidR="005C22E2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</w:t>
      </w:r>
      <w:r w:rsidR="007B2F5A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-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202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4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учебный год вопросы подготовки к государственной итоговой аттестации выпускников 9-х классов.</w:t>
      </w:r>
    </w:p>
    <w:p w:rsidR="00CF2330" w:rsidRPr="00072601" w:rsidRDefault="00A14A19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5496" w:themeColor="accent5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-43815</wp:posOffset>
            </wp:positionV>
            <wp:extent cx="6315075" cy="8658225"/>
            <wp:effectExtent l="19050" t="0" r="9525" b="0"/>
            <wp:wrapNone/>
            <wp:docPr id="3" name="Рисунок 1" descr="C:\Users\User3\Downloads\ОГЭ сравните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ОГЭ сравнительный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330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2. Усовершенствовать систему </w:t>
      </w:r>
      <w:proofErr w:type="spellStart"/>
      <w:r w:rsidR="00CF2330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внутришкольного</w:t>
      </w:r>
      <w:proofErr w:type="spellEnd"/>
      <w:r w:rsidR="00CF2330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мониторинга уровня </w:t>
      </w:r>
      <w:proofErr w:type="spellStart"/>
      <w:r w:rsidR="00CF2330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обученности</w:t>
      </w:r>
      <w:proofErr w:type="spellEnd"/>
      <w:r w:rsidR="00CF2330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обучающихся выпускных классов; совершенствовать методику преподавания с учетом требований государственной (итоговой) аттестации.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 3. Продолжить работу по совершенствованию системы организации ГИА выпускников через повышение информационной компетенции участников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образовательного процесса; усилить влияние на социализацию личности обучающегося, самоопределение в отношении будущей профессии.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4. Включить в план работы ШМО деятельность с </w:t>
      </w:r>
      <w:proofErr w:type="gram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одаренными</w:t>
      </w:r>
      <w:proofErr w:type="gram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и слабоуспевающими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обучающимися.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5. Особое внимание при подготовке к ГИА следует обратить на предметы, имеющие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дополнительные задания к тестовой части: устная часть иностранного языка,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практические задания по химии, физике, информатике.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    6. Учителям – предметникам в педагогической деятельности стимулировать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познавательную активность </w:t>
      </w:r>
      <w:proofErr w:type="gramStart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обучающихся</w:t>
      </w:r>
      <w:proofErr w:type="gramEnd"/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как средство саморазвития и</w:t>
      </w:r>
    </w:p>
    <w:p w:rsidR="00CF2330" w:rsidRPr="00072601" w:rsidRDefault="00CF2330" w:rsidP="00CF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самореализации личности, использовать индивидуализацию и дифференциацию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обучения обучающихся, создавать положительное эмоциональное поле взаимоотношений «учитель-ученик», воспитывать положительное отношение</w:t>
      </w:r>
      <w:r w:rsidR="00072601"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обучающихся к учебной деятельности.</w:t>
      </w:r>
    </w:p>
    <w:p w:rsidR="007B2F5A" w:rsidRPr="00072601" w:rsidRDefault="007B2F5A" w:rsidP="0029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8D17FB" w:rsidRPr="00072601" w:rsidRDefault="008D17FB" w:rsidP="0029097D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CF2330" w:rsidRPr="00072601" w:rsidRDefault="00CF2330" w:rsidP="0029097D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CF2330" w:rsidRPr="00072601" w:rsidRDefault="00CF2330" w:rsidP="0029097D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CF2330" w:rsidRPr="00072601" w:rsidRDefault="00CF2330" w:rsidP="0029097D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CF2330" w:rsidRPr="00072601" w:rsidRDefault="00CF2330" w:rsidP="0029097D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Заместитель директора по УВР  </w:t>
      </w:r>
      <w:r w:rsidR="00072601"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______________</w:t>
      </w:r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</w:t>
      </w:r>
      <w:proofErr w:type="spellStart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Мальсагова</w:t>
      </w:r>
      <w:proofErr w:type="spellEnd"/>
      <w:r w:rsidRPr="0007260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А.М.</w:t>
      </w:r>
    </w:p>
    <w:sectPr w:rsidR="00CF2330" w:rsidRPr="00072601" w:rsidSect="006955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13"/>
    <w:rsid w:val="00072601"/>
    <w:rsid w:val="001E4213"/>
    <w:rsid w:val="002858FA"/>
    <w:rsid w:val="0029097D"/>
    <w:rsid w:val="002B28A4"/>
    <w:rsid w:val="00350CB4"/>
    <w:rsid w:val="00381AD8"/>
    <w:rsid w:val="003A17DA"/>
    <w:rsid w:val="00513647"/>
    <w:rsid w:val="005C22E2"/>
    <w:rsid w:val="005F205F"/>
    <w:rsid w:val="006027C7"/>
    <w:rsid w:val="00625BCC"/>
    <w:rsid w:val="00691E1C"/>
    <w:rsid w:val="0069550E"/>
    <w:rsid w:val="006A680E"/>
    <w:rsid w:val="006F3E35"/>
    <w:rsid w:val="00707308"/>
    <w:rsid w:val="00717167"/>
    <w:rsid w:val="00737C57"/>
    <w:rsid w:val="007B2F5A"/>
    <w:rsid w:val="008973D2"/>
    <w:rsid w:val="008D17FB"/>
    <w:rsid w:val="00A14A19"/>
    <w:rsid w:val="00AE1B81"/>
    <w:rsid w:val="00AF2C1E"/>
    <w:rsid w:val="00B00F48"/>
    <w:rsid w:val="00BB2CE2"/>
    <w:rsid w:val="00CF2330"/>
    <w:rsid w:val="00D0657F"/>
    <w:rsid w:val="00D16046"/>
    <w:rsid w:val="00D836F2"/>
    <w:rsid w:val="00DA1804"/>
    <w:rsid w:val="00F01367"/>
    <w:rsid w:val="00F64A06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F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A17DA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image" Target="media/image2.jpeg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Monotype Corsiva" pitchFamily="66" charset="0"/>
              </a:rPr>
              <a:t>Количество выпускников </a:t>
            </a:r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Monotype Corsiva" pitchFamily="66" charset="0"/>
              </a:rPr>
              <a:t>9-х классов за три года </a:t>
            </a:r>
          </a:p>
        </c:rich>
      </c:tx>
      <c:spPr>
        <a:noFill/>
        <a:ln>
          <a:noFill/>
        </a:ln>
        <a:effectLst/>
      </c:spPr>
    </c:title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chemeClr val="accent5">
                  <a:lumMod val="50000"/>
                </a:schemeClr>
              </a:solidFill>
            </a:ln>
          </c:spPr>
          <c:dPt>
            <c:idx val="0"/>
            <c:spPr>
              <a:solidFill>
                <a:schemeClr val="bg2">
                  <a:lumMod val="75000"/>
                </a:schemeClr>
              </a:solidFill>
              <a:ln>
                <a:solidFill>
                  <a:srgbClr val="203864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1E0-4F78-87CE-BDF87940C8DB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E0-4F78-87CE-BDF87940C8DB}"/>
              </c:ext>
            </c:extLst>
          </c:dPt>
          <c:dPt>
            <c:idx val="2"/>
            <c:spPr>
              <a:solidFill>
                <a:srgbClr val="C00000"/>
              </a:solidFill>
              <a:ln>
                <a:solidFill>
                  <a:schemeClr val="accent5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1E0-4F78-87CE-BDF87940C8DB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accent5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E0-4F78-87CE-BDF87940C8DB}"/>
              </c:ext>
            </c:extLst>
          </c:dPt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C2-49A9-A337-99D8697DAD81}"/>
            </c:ext>
          </c:extLst>
        </c:ser>
        <c:gapWidth val="100"/>
        <c:shape val="cone"/>
        <c:axId val="52840704"/>
        <c:axId val="52886528"/>
        <c:axId val="41728640"/>
      </c:bar3DChart>
      <c:catAx>
        <c:axId val="52840704"/>
        <c:scaling>
          <c:orientation val="minMax"/>
        </c:scaling>
        <c:axPos val="b"/>
        <c:tickLblPos val="nextTo"/>
        <c:crossAx val="52886528"/>
        <c:crosses val="autoZero"/>
        <c:auto val="1"/>
        <c:lblAlgn val="ctr"/>
        <c:lblOffset val="100"/>
      </c:catAx>
      <c:valAx>
        <c:axId val="52886528"/>
        <c:scaling>
          <c:orientation val="minMax"/>
        </c:scaling>
        <c:axPos val="l"/>
        <c:majorGridlines/>
        <c:numFmt formatCode="General" sourceLinked="1"/>
        <c:tickLblPos val="nextTo"/>
        <c:crossAx val="52840704"/>
        <c:crosses val="autoZero"/>
        <c:crossBetween val="between"/>
      </c:valAx>
      <c:serAx>
        <c:axId val="41728640"/>
        <c:scaling>
          <c:orientation val="minMax"/>
        </c:scaling>
        <c:delete val="1"/>
        <c:axPos val="b"/>
        <c:tickLblPos val="none"/>
        <c:crossAx val="52886528"/>
        <c:crosses val="autoZero"/>
      </c:serAx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>
      <a:gsLst>
        <a:gs pos="0">
          <a:schemeClr val="accent3">
            <a:lumMod val="50000"/>
          </a:scheme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ОГЭ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русскому языку за три года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BA-4434-99BE-12CD4D331E7C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BA-4434-99BE-12CD4D331E7C}"/>
              </c:ext>
            </c:extLst>
          </c:dPt>
          <c:dPt>
            <c:idx val="2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BA-4434-99BE-12CD4D331E7C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BA-4434-99BE-12CD4D331E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45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CE-4CAF-96CB-08BE1A7742B3}"/>
            </c:ext>
          </c:extLst>
        </c:ser>
        <c:gapWidth val="100"/>
        <c:shape val="cone"/>
        <c:axId val="101507072"/>
        <c:axId val="101510528"/>
        <c:axId val="53379072"/>
      </c:bar3DChart>
      <c:catAx>
        <c:axId val="101507072"/>
        <c:scaling>
          <c:orientation val="minMax"/>
        </c:scaling>
        <c:axPos val="b"/>
        <c:tickLblPos val="nextTo"/>
        <c:crossAx val="101510528"/>
        <c:crosses val="autoZero"/>
        <c:auto val="1"/>
        <c:lblAlgn val="ctr"/>
        <c:lblOffset val="100"/>
      </c:catAx>
      <c:valAx>
        <c:axId val="101510528"/>
        <c:scaling>
          <c:orientation val="minMax"/>
        </c:scaling>
        <c:axPos val="l"/>
        <c:majorGridlines/>
        <c:numFmt formatCode="General" sourceLinked="1"/>
        <c:tickLblPos val="nextTo"/>
        <c:crossAx val="101507072"/>
        <c:crosses val="autoZero"/>
        <c:crossBetween val="between"/>
      </c:valAx>
      <c:serAx>
        <c:axId val="53379072"/>
        <c:scaling>
          <c:orientation val="minMax"/>
        </c:scaling>
        <c:delete val="1"/>
        <c:axPos val="b"/>
        <c:tickLblPos val="none"/>
        <c:crossAx val="101510528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A5A5A5">
            <a:lumMod val="5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ОГЭ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математике за три года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A5-4735-85B1-2AEB53AB36B2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78C-45B9-9C9B-12064976B08C}"/>
              </c:ext>
            </c:extLst>
          </c:dPt>
          <c:dPt>
            <c:idx val="2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8C-45B9-9C9B-12064976B08C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A5-4735-85B1-2AEB53AB36B2}"/>
              </c:ext>
            </c:extLst>
          </c:dPt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35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8C-45B9-9C9B-12064976B08C}"/>
            </c:ext>
          </c:extLst>
        </c:ser>
        <c:gapWidth val="100"/>
        <c:shape val="cone"/>
        <c:axId val="183939456"/>
        <c:axId val="183941376"/>
        <c:axId val="53379968"/>
      </c:bar3DChart>
      <c:catAx>
        <c:axId val="183939456"/>
        <c:scaling>
          <c:orientation val="minMax"/>
        </c:scaling>
        <c:axPos val="b"/>
        <c:tickLblPos val="nextTo"/>
        <c:crossAx val="183941376"/>
        <c:crosses val="autoZero"/>
        <c:auto val="1"/>
        <c:lblAlgn val="ctr"/>
        <c:lblOffset val="100"/>
      </c:catAx>
      <c:valAx>
        <c:axId val="183941376"/>
        <c:scaling>
          <c:orientation val="minMax"/>
        </c:scaling>
        <c:axPos val="l"/>
        <c:majorGridlines/>
        <c:numFmt formatCode="General" sourceLinked="1"/>
        <c:tickLblPos val="nextTo"/>
        <c:crossAx val="183939456"/>
        <c:crosses val="autoZero"/>
        <c:crossBetween val="between"/>
      </c:valAx>
      <c:serAx>
        <c:axId val="53379968"/>
        <c:scaling>
          <c:orientation val="minMax"/>
        </c:scaling>
        <c:delete val="1"/>
        <c:axPos val="b"/>
        <c:tickLblPos val="none"/>
        <c:crossAx val="183941376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A5A5A5">
            <a:lumMod val="5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ОГЭ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биологии за три года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0A-462E-9723-40A2E11B00DC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0A-462E-9723-40A2E11B00DC}"/>
              </c:ext>
            </c:extLst>
          </c:dPt>
          <c:dPt>
            <c:idx val="2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5E-4581-B4DA-4EC1AE7CC6F0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0A-462E-9723-40A2E11B00DC}"/>
              </c:ext>
            </c:extLst>
          </c:dPt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34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5E-4581-B4DA-4EC1AE7CC6F0}"/>
            </c:ext>
          </c:extLst>
        </c:ser>
        <c:gapWidth val="100"/>
        <c:shape val="cone"/>
        <c:axId val="12012160"/>
        <c:axId val="12120448"/>
        <c:axId val="107308352"/>
      </c:bar3DChart>
      <c:catAx>
        <c:axId val="12012160"/>
        <c:scaling>
          <c:orientation val="minMax"/>
        </c:scaling>
        <c:axPos val="b"/>
        <c:tickLblPos val="nextTo"/>
        <c:crossAx val="12120448"/>
        <c:crosses val="autoZero"/>
        <c:auto val="1"/>
        <c:lblAlgn val="ctr"/>
        <c:lblOffset val="100"/>
      </c:catAx>
      <c:valAx>
        <c:axId val="12120448"/>
        <c:scaling>
          <c:orientation val="minMax"/>
        </c:scaling>
        <c:axPos val="l"/>
        <c:majorGridlines/>
        <c:numFmt formatCode="General" sourceLinked="1"/>
        <c:tickLblPos val="nextTo"/>
        <c:crossAx val="12012160"/>
        <c:crosses val="autoZero"/>
        <c:crossBetween val="between"/>
      </c:valAx>
      <c:serAx>
        <c:axId val="107308352"/>
        <c:scaling>
          <c:orientation val="minMax"/>
        </c:scaling>
        <c:delete val="1"/>
        <c:axPos val="b"/>
        <c:tickLblPos val="none"/>
        <c:crossAx val="12120448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A5A5A5">
            <a:lumMod val="5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bg1">
                    <a:lumMod val="85000"/>
                  </a:schemeClr>
                </a:solidFill>
                <a:latin typeface="Monotype Corsiva" pitchFamily="66" charset="0"/>
              </a:rPr>
              <a:t>Сравнительный анализ результатов ОГЭ </a:t>
            </a:r>
            <a:endParaRPr lang="ru-RU">
              <a:solidFill>
                <a:schemeClr val="bg1">
                  <a:lumMod val="85000"/>
                </a:schemeClr>
              </a:solidFill>
              <a:latin typeface="Monotype Corsiva" pitchFamily="66" charset="0"/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bg1">
                    <a:lumMod val="85000"/>
                  </a:schemeClr>
                </a:solidFill>
                <a:latin typeface="Monotype Corsiva" pitchFamily="66" charset="0"/>
              </a:rPr>
              <a:t>по обществознанию за три года</a:t>
            </a:r>
            <a:endParaRPr lang="ru-RU">
              <a:solidFill>
                <a:schemeClr val="bg1">
                  <a:lumMod val="85000"/>
                </a:schemeClr>
              </a:solidFill>
              <a:latin typeface="Monotype Corsiva" pitchFamily="66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hape val="cone"/>
        <c:axId val="53374976"/>
        <c:axId val="53376512"/>
        <c:axId val="107310144"/>
      </c:bar3DChart>
      <c:catAx>
        <c:axId val="53374976"/>
        <c:scaling>
          <c:orientation val="minMax"/>
        </c:scaling>
        <c:axPos val="b"/>
        <c:tickLblPos val="nextTo"/>
        <c:crossAx val="53376512"/>
        <c:crosses val="autoZero"/>
        <c:auto val="1"/>
        <c:lblAlgn val="ctr"/>
        <c:lblOffset val="100"/>
      </c:catAx>
      <c:valAx>
        <c:axId val="53376512"/>
        <c:scaling>
          <c:orientation val="minMax"/>
        </c:scaling>
        <c:axPos val="l"/>
        <c:majorGridlines/>
        <c:numFmt formatCode="General" sourceLinked="1"/>
        <c:tickLblPos val="nextTo"/>
        <c:crossAx val="53374976"/>
        <c:crosses val="autoZero"/>
        <c:crossBetween val="between"/>
      </c:valAx>
      <c:serAx>
        <c:axId val="107310144"/>
        <c:scaling>
          <c:orientation val="minMax"/>
        </c:scaling>
        <c:delete val="1"/>
        <c:axPos val="b"/>
        <c:tickLblPos val="none"/>
        <c:crossAx val="53376512"/>
        <c:crosses val="autoZero"/>
      </c:serAx>
    </c:plotArea>
    <c:plotVisOnly val="1"/>
  </c:chart>
  <c:spPr>
    <a:gradFill>
      <a:gsLst>
        <a:gs pos="0">
          <a:srgbClr val="A5A5A5">
            <a:lumMod val="5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5.9990339749198131E-2"/>
          <c:y val="0.29005096450322382"/>
          <c:w val="0.80986493875765431"/>
          <c:h val="0.4208268990648028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27</c:v>
                </c:pt>
                <c:pt idx="2">
                  <c:v>0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34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  <c:pt idx="1">
                  <c:v>42</c:v>
                </c:pt>
                <c:pt idx="2">
                  <c:v>41</c:v>
                </c:pt>
                <c:pt idx="3">
                  <c:v>40</c:v>
                </c:pt>
              </c:numCache>
            </c:numRef>
          </c:val>
        </c:ser>
        <c:shape val="cone"/>
        <c:axId val="33563776"/>
        <c:axId val="33565312"/>
        <c:axId val="53152384"/>
      </c:bar3DChart>
      <c:catAx>
        <c:axId val="335637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33565312"/>
        <c:crosses val="autoZero"/>
        <c:auto val="1"/>
        <c:lblAlgn val="ctr"/>
        <c:lblOffset val="100"/>
      </c:catAx>
      <c:valAx>
        <c:axId val="33565312"/>
        <c:scaling>
          <c:orientation val="minMax"/>
        </c:scaling>
        <c:axPos val="l"/>
        <c:majorGridlines/>
        <c:numFmt formatCode="General" sourceLinked="1"/>
        <c:tickLblPos val="nextTo"/>
        <c:crossAx val="33563776"/>
        <c:crosses val="autoZero"/>
        <c:crossBetween val="between"/>
      </c:valAx>
      <c:serAx>
        <c:axId val="53152384"/>
        <c:scaling>
          <c:orientation val="minMax"/>
        </c:scaling>
        <c:axPos val="b"/>
        <c:tickLblPos val="nextTo"/>
        <c:crossAx val="33565312"/>
        <c:crosses val="autoZero"/>
      </c:serAx>
    </c:plotArea>
    <c:plotVisOnly val="1"/>
  </c:chart>
  <c:spPr>
    <a:gradFill>
      <a:gsLst>
        <a:gs pos="0">
          <a:srgbClr val="A5A5A5">
            <a:lumMod val="5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0.07292</cdr:x>
      <cdr:y>0.03883</cdr:y>
    </cdr:from>
    <cdr:to>
      <cdr:x>0.96411</cdr:x>
      <cdr:y>0.19108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0050" y="152400"/>
          <a:ext cx="4889416" cy="59746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User3</cp:lastModifiedBy>
  <cp:revision>7</cp:revision>
  <cp:lastPrinted>2023-07-25T11:19:00Z</cp:lastPrinted>
  <dcterms:created xsi:type="dcterms:W3CDTF">2023-07-13T12:53:00Z</dcterms:created>
  <dcterms:modified xsi:type="dcterms:W3CDTF">2023-07-25T11:31:00Z</dcterms:modified>
</cp:coreProperties>
</file>